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-146684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0.30pt;mso-position-horizontal:absolute;mso-position-vertical-relative:text;margin-top:-11.55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rStyle w:val="UserStyle_60"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15</w:t>
      </w:r>
      <w:r>
        <w:rPr>
          <w:rStyle w:val="UserStyle_60"/>
          <w:b/>
          <w:bCs/>
          <w:sz w:val="28"/>
          <w:szCs w:val="28"/>
        </w:rPr>
        <w:t xml:space="preserve">.</w:t>
      </w:r>
      <w:r>
        <w:rPr>
          <w:rStyle w:val="UserStyle_60"/>
          <w:b/>
          <w:bCs/>
          <w:sz w:val="28"/>
          <w:szCs w:val="28"/>
        </w:rPr>
        <w:t xml:space="preserve">01</w:t>
      </w:r>
      <w:r>
        <w:rPr>
          <w:rStyle w:val="UserStyle_60"/>
          <w:b/>
          <w:bCs/>
          <w:sz w:val="28"/>
          <w:szCs w:val="28"/>
        </w:rPr>
        <w:t xml:space="preserve">.2</w:t>
      </w:r>
      <w:r>
        <w:rPr>
          <w:rStyle w:val="UserStyle_60"/>
          <w:b/>
          <w:bCs/>
          <w:sz w:val="28"/>
          <w:szCs w:val="28"/>
        </w:rPr>
        <w:t xml:space="preserve">02</w:t>
      </w:r>
      <w:r>
        <w:rPr>
          <w:rStyle w:val="UserStyle_60"/>
          <w:b/>
          <w:bCs/>
          <w:sz w:val="28"/>
          <w:szCs w:val="28"/>
        </w:rPr>
        <w:t xml:space="preserve">5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«Вопрос-ответ»: </w:t>
      </w:r>
      <w:r>
        <w:rPr>
          <w:b/>
          <w:color w:val="000000"/>
          <w:sz w:val="28"/>
          <w:szCs w:val="28"/>
          <w:shd w:val="clear" w:color="auto" w:fill="ffffff"/>
        </w:rPr>
        <w:t xml:space="preserve">К</w:t>
      </w:r>
      <w:r>
        <w:rPr>
          <w:b/>
          <w:color w:val="000000"/>
          <w:sz w:val="28"/>
          <w:szCs w:val="28"/>
          <w:shd w:val="clear" w:color="auto" w:fill="ffffff"/>
        </w:rPr>
        <w:t xml:space="preserve">ак подать заявление о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 xml:space="preserve">невозможности проведения госрегистрации прав без личного участия?</w:t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Управление Росреестра по Челябинской области продолжает цикл разъяснительных материалов по актуальным темам в сфере недвижимости. Сегодня в рамках рубрики «Вопрос-ответ» разберем </w:t>
      </w:r>
      <w:r>
        <w:rPr>
          <w:b/>
          <w:sz w:val="28"/>
          <w:szCs w:val="28"/>
        </w:rPr>
        <w:t xml:space="preserve">одно из обращений, п</w:t>
      </w:r>
      <w:r>
        <w:rPr>
          <w:b/>
          <w:sz w:val="28"/>
          <w:szCs w:val="28"/>
        </w:rPr>
        <w:t xml:space="preserve">оступивш</w:t>
      </w:r>
      <w:r>
        <w:rPr>
          <w:b/>
          <w:sz w:val="28"/>
          <w:szCs w:val="28"/>
        </w:rPr>
        <w:t xml:space="preserve">ее</w:t>
      </w: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наш адрес</w:t>
      </w:r>
      <w:r>
        <w:rPr>
          <w:b/>
          <w:sz w:val="28"/>
          <w:szCs w:val="28"/>
        </w:rPr>
        <w:t xml:space="preserve">. В частности, речь пойдет о процедуре </w:t>
      </w:r>
      <w:r>
        <w:rPr>
          <w:b/>
          <w:color w:val="000000"/>
          <w:sz w:val="28"/>
          <w:szCs w:val="28"/>
          <w:shd w:val="clear" w:color="auto" w:fill="ffffff"/>
        </w:rPr>
        <w:t xml:space="preserve">подачи заявления о невозможности проведения гос</w:t>
      </w:r>
      <w:r>
        <w:rPr>
          <w:b/>
          <w:color w:val="000000"/>
          <w:sz w:val="28"/>
          <w:szCs w:val="28"/>
          <w:shd w:val="clear" w:color="auto" w:fill="ffffff"/>
        </w:rPr>
        <w:t xml:space="preserve">ударственной </w:t>
      </w:r>
      <w:r>
        <w:rPr>
          <w:b/>
          <w:color w:val="000000"/>
          <w:sz w:val="28"/>
          <w:szCs w:val="28"/>
          <w:shd w:val="clear" w:color="auto" w:fill="ffffff"/>
        </w:rPr>
        <w:t xml:space="preserve">регистрации прав без личного участия правообладателя</w:t>
      </w:r>
      <w:r>
        <w:rPr>
          <w:b/>
          <w:color w:val="000000"/>
          <w:sz w:val="28"/>
          <w:szCs w:val="28"/>
          <w:shd w:val="clear" w:color="auto" w:fill="ffffff"/>
        </w:rPr>
        <w:t xml:space="preserve">.</w:t>
      </w: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rFonts w:eastAsia="Arimo"/>
          <w:sz w:val="28"/>
          <w:szCs w:val="28"/>
        </w:rPr>
        <w:t xml:space="preserve">Комментирует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начальник отдела</w:t>
      </w:r>
      <w:r>
        <w:rPr>
          <w:b/>
          <w:sz w:val="28"/>
          <w:szCs w:val="28"/>
        </w:rPr>
        <w:t xml:space="preserve"> координации и анализа деятельности в учетно-регистрационной сфере Управления Росреестра по Челябинской области Юлия Коваленко.</w:t>
      </w: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внесения в Единый государственный реестр недвижимости (</w:t>
      </w:r>
      <w:r>
        <w:rPr>
          <w:sz w:val="28"/>
          <w:szCs w:val="28"/>
        </w:rPr>
        <w:t xml:space="preserve">ЕГРН) записей</w:t>
      </w:r>
      <w:r>
        <w:rPr>
          <w:sz w:val="28"/>
          <w:szCs w:val="28"/>
        </w:rPr>
        <w:t xml:space="preserve"> о невозможности государственной регистрации права без личного участия правообладателя установлены ст. 36 Федерального закона от 13.07.2015 № 218-ФЗ «О государств</w:t>
      </w:r>
      <w:r>
        <w:rPr>
          <w:sz w:val="28"/>
          <w:szCs w:val="28"/>
        </w:rPr>
        <w:t xml:space="preserve">енной регистрации недвижимости»</w:t>
      </w:r>
      <w:r>
        <w:rPr>
          <w:sz w:val="28"/>
          <w:szCs w:val="28"/>
        </w:rPr>
        <w:t xml:space="preserve">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Такие отметки могут быть внесены на основании за</w:t>
      </w:r>
      <w:r>
        <w:rPr>
          <w:sz w:val="28"/>
          <w:szCs w:val="28"/>
        </w:rPr>
        <w:t xml:space="preserve">явления лица, указанного в ЕГРН</w:t>
      </w:r>
      <w:r>
        <w:rPr>
          <w:sz w:val="28"/>
          <w:szCs w:val="28"/>
        </w:rPr>
        <w:t xml:space="preserve"> в качес</w:t>
      </w:r>
      <w:r>
        <w:rPr>
          <w:sz w:val="28"/>
          <w:szCs w:val="28"/>
        </w:rPr>
        <w:t xml:space="preserve">тве собственника или его законного представителя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либо представителя, действующего на основании нотариально удостоверенной доверенности.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может быть представлено в бумажном </w:t>
      </w:r>
      <w:r>
        <w:rPr>
          <w:sz w:val="28"/>
          <w:szCs w:val="28"/>
        </w:rPr>
        <w:t xml:space="preserve">виде</w:t>
      </w:r>
      <w:r>
        <w:rPr>
          <w:sz w:val="28"/>
          <w:szCs w:val="28"/>
        </w:rPr>
        <w:t xml:space="preserve"> путем обращения в любой </w:t>
      </w:r>
      <w:r>
        <w:rPr>
          <w:sz w:val="28"/>
          <w:szCs w:val="28"/>
        </w:rPr>
        <w:t xml:space="preserve">МФЦ</w:t>
      </w:r>
      <w:r>
        <w:rPr>
          <w:sz w:val="28"/>
          <w:szCs w:val="28"/>
        </w:rPr>
        <w:t xml:space="preserve">, причем</w:t>
      </w:r>
      <w:r>
        <w:rPr>
          <w:sz w:val="28"/>
          <w:szCs w:val="28"/>
        </w:rPr>
        <w:t xml:space="preserve"> независимо от места нахождения объекта недвижимости</w:t>
      </w:r>
      <w:r>
        <w:rPr>
          <w:sz w:val="28"/>
          <w:szCs w:val="28"/>
        </w:rPr>
        <w:t xml:space="preserve">. Можно выбрать и </w:t>
      </w:r>
      <w:r>
        <w:rPr>
          <w:sz w:val="28"/>
          <w:szCs w:val="28"/>
        </w:rPr>
        <w:t xml:space="preserve">электронн</w:t>
      </w:r>
      <w:r>
        <w:rPr>
          <w:sz w:val="28"/>
          <w:szCs w:val="28"/>
        </w:rPr>
        <w:t xml:space="preserve">ый вариант подачи информации одним из следующих способов: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ортал Госуслуг (</w:t>
      </w:r>
      <w:r>
        <w:rPr>
          <w:sz w:val="28"/>
          <w:szCs w:val="28"/>
        </w:rPr>
        <w:t xml:space="preserve">www.gosuslugi.ru</w:t>
      </w:r>
      <w:r>
        <w:rPr>
          <w:sz w:val="28"/>
          <w:szCs w:val="28"/>
        </w:rPr>
        <w:t xml:space="preserve">):</w:t>
      </w:r>
      <w:r>
        <w:rPr>
          <w:sz w:val="28"/>
          <w:szCs w:val="28"/>
        </w:rPr>
        <w:t xml:space="preserve"> раздел «Запрет на действия c недв</w:t>
      </w:r>
      <w:r>
        <w:rPr>
          <w:sz w:val="28"/>
          <w:szCs w:val="28"/>
        </w:rPr>
        <w:t xml:space="preserve">ижимостью без личного участия».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ичн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кабинет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 xml:space="preserve">сайта </w:t>
      </w:r>
      <w:r>
        <w:rPr>
          <w:sz w:val="28"/>
          <w:szCs w:val="28"/>
        </w:rPr>
        <w:t xml:space="preserve">Росреестра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lk.rosreestr.ru</w:t>
      </w:r>
      <w:r>
        <w:rPr>
          <w:sz w:val="28"/>
          <w:szCs w:val="28"/>
        </w:rPr>
        <w:t xml:space="preserve">):</w:t>
      </w:r>
      <w:r>
        <w:rPr>
          <w:sz w:val="28"/>
          <w:szCs w:val="28"/>
        </w:rPr>
        <w:t xml:space="preserve"> раздел «Мои услуги и сервисы»</w:t>
      </w:r>
      <w:r>
        <w:rPr>
          <w:sz w:val="28"/>
          <w:szCs w:val="28"/>
        </w:rPr>
        <w:t xml:space="preserve">, услуга </w:t>
      </w:r>
      <w:r>
        <w:rPr>
          <w:sz w:val="28"/>
          <w:szCs w:val="28"/>
        </w:rPr>
        <w:t xml:space="preserve">«Иное» – «Внесение записей о невозможности государственной регистрации права без личного участия правообладателя».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Отметим, что подать заявление через личный кабинет Росреестра правообладатель сможет без усиленной квалицированной электронной подписи.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Материал подготовлен пресс-службой</w:t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Росреестра и Роскадастра по Челябинской области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709" w:right="567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mo">
    <w:panose1 w:val="020B0604020202020204"/>
  </w:font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Noto Sans Devanagari">
    <w:panose1 w:val="020B0502040504020204"/>
  </w:font>
  <w:font w:name="Tahoma">
    <w:panose1 w:val="020B060403050404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40" w:hanging="360"/>
      </w:p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  <w:rPr>
      <w:rFonts w:ascii="Symbol" w:hAnsi="Symbol" w:cs="Symbol"/>
    </w:rPr>
  </w:style>
  <w:style w:type="character" w:styleId="UserStyle_1">
    <w:name w:val="WW8Num1z1"/>
    <w:next w:val="UserStyle_1"/>
    <w:link w:val="Normal"/>
    <w:rPr>
      <w:rFonts w:ascii="Courier New" w:hAnsi="Courier New" w:cs="Courier New"/>
    </w:rPr>
  </w:style>
  <w:style w:type="character" w:styleId="UserStyle_2">
    <w:name w:val="WW8Num1z2"/>
    <w:next w:val="UserStyle_2"/>
    <w:link w:val="Normal"/>
    <w:rPr>
      <w:rFonts w:ascii="Wingdings" w:hAnsi="Wingdings" w:cs="Wingdings"/>
    </w:rPr>
  </w:style>
  <w:style w:type="character" w:styleId="UserStyle_3">
    <w:name w:val="WW8Num2z0"/>
    <w:next w:val="UserStyle_3"/>
    <w:link w:val="Normal"/>
    <w:rPr>
      <w:rFonts w:ascii="Symbol" w:hAnsi="Symbol" w:cs="Symbol"/>
    </w:rPr>
  </w:style>
  <w:style w:type="character" w:styleId="UserStyle_4">
    <w:name w:val="WW8Num2z1"/>
    <w:next w:val="UserStyle_4"/>
    <w:link w:val="Normal"/>
    <w:rPr>
      <w:rFonts w:ascii="Courier New" w:hAnsi="Courier New" w:cs="Courier New"/>
    </w:rPr>
  </w:style>
  <w:style w:type="character" w:styleId="UserStyle_5">
    <w:name w:val="WW8Num2z2"/>
    <w:next w:val="UserStyle_5"/>
    <w:link w:val="Normal"/>
    <w:rPr>
      <w:rFonts w:ascii="Wingdings" w:hAnsi="Wingdings" w:cs="Wingdings"/>
    </w:rPr>
  </w:style>
  <w:style w:type="character" w:styleId="UserStyle_6">
    <w:name w:val="Основной шрифт абзаца13"/>
    <w:next w:val="UserStyle_6"/>
    <w:link w:val="Normal"/>
  </w:style>
  <w:style w:type="character" w:styleId="UserStyle_7">
    <w:name w:val="WW8Num1z3"/>
    <w:next w:val="UserStyle_7"/>
    <w:link w:val="Normal"/>
    <w:rPr>
      <w:rFonts w:ascii="Symbol" w:hAnsi="Symbol" w:cs="Symbol"/>
    </w:rPr>
  </w:style>
  <w:style w:type="character" w:styleId="UserStyle_8">
    <w:name w:val="WW8Num1z4"/>
    <w:next w:val="UserStyle_8"/>
    <w:link w:val="Normal"/>
  </w:style>
  <w:style w:type="character" w:styleId="UserStyle_9">
    <w:name w:val="WW8Num1z5"/>
    <w:next w:val="UserStyle_9"/>
    <w:link w:val="Normal"/>
  </w:style>
  <w:style w:type="character" w:styleId="UserStyle_10">
    <w:name w:val="WW8Num1z6"/>
    <w:next w:val="UserStyle_10"/>
    <w:link w:val="Normal"/>
  </w:style>
  <w:style w:type="character" w:styleId="UserStyle_11">
    <w:name w:val="WW8Num1z7"/>
    <w:next w:val="UserStyle_11"/>
    <w:link w:val="Normal"/>
  </w:style>
  <w:style w:type="character" w:styleId="UserStyle_12">
    <w:name w:val="WW8Num1z8"/>
    <w:next w:val="UserStyle_12"/>
    <w:link w:val="Normal"/>
  </w:style>
  <w:style w:type="character" w:styleId="UserStyle_13">
    <w:name w:val="Основной шрифт абзаца12"/>
    <w:next w:val="UserStyle_13"/>
    <w:link w:val="Normal"/>
  </w:style>
  <w:style w:type="character" w:styleId="UserStyle_14">
    <w:name w:val="WW8Num3z0"/>
    <w:next w:val="UserStyle_14"/>
    <w:link w:val="Normal"/>
  </w:style>
  <w:style w:type="character" w:styleId="UserStyle_15">
    <w:name w:val="WW8Num3z1"/>
    <w:next w:val="UserStyle_15"/>
    <w:link w:val="Normal"/>
  </w:style>
  <w:style w:type="character" w:styleId="UserStyle_16">
    <w:name w:val="WW8Num3z2"/>
    <w:next w:val="UserStyle_16"/>
    <w:link w:val="Normal"/>
  </w:style>
  <w:style w:type="character" w:styleId="UserStyle_17">
    <w:name w:val="WW8Num3z3"/>
    <w:next w:val="UserStyle_17"/>
    <w:link w:val="Normal"/>
  </w:style>
  <w:style w:type="character" w:styleId="UserStyle_18">
    <w:name w:val="WW8Num3z4"/>
    <w:next w:val="UserStyle_18"/>
    <w:link w:val="Normal"/>
  </w:style>
  <w:style w:type="character" w:styleId="UserStyle_19">
    <w:name w:val="WW8Num3z5"/>
    <w:next w:val="UserStyle_19"/>
    <w:link w:val="Normal"/>
  </w:style>
  <w:style w:type="character" w:styleId="UserStyle_20">
    <w:name w:val="WW8Num3z6"/>
    <w:next w:val="UserStyle_20"/>
    <w:link w:val="Normal"/>
  </w:style>
  <w:style w:type="character" w:styleId="UserStyle_21">
    <w:name w:val="WW8Num3z7"/>
    <w:next w:val="UserStyle_21"/>
    <w:link w:val="Normal"/>
  </w:style>
  <w:style w:type="character" w:styleId="UserStyle_22">
    <w:name w:val="WW8Num3z8"/>
    <w:next w:val="UserStyle_22"/>
    <w:link w:val="Normal"/>
  </w:style>
  <w:style w:type="character" w:styleId="UserStyle_23">
    <w:name w:val="WW8Num4z0"/>
    <w:next w:val="UserStyle_23"/>
    <w:link w:val="Normal"/>
    <w:rPr>
      <w:rFonts w:ascii="Symbol" w:hAnsi="Symbol" w:cs="Symbol"/>
    </w:rPr>
  </w:style>
  <w:style w:type="character" w:styleId="UserStyle_24">
    <w:name w:val="WW8Num4z1"/>
    <w:next w:val="UserStyle_24"/>
    <w:link w:val="Normal"/>
    <w:rPr>
      <w:rFonts w:ascii="Courier New" w:hAnsi="Courier New" w:cs="Courier New"/>
    </w:rPr>
  </w:style>
  <w:style w:type="character" w:styleId="UserStyle_25">
    <w:name w:val="WW8Num4z2"/>
    <w:next w:val="UserStyle_25"/>
    <w:link w:val="Normal"/>
    <w:rPr>
      <w:rFonts w:ascii="Wingdings" w:hAnsi="Wingdings" w:cs="Wingdings"/>
    </w:rPr>
  </w:style>
  <w:style w:type="character" w:styleId="UserStyle_26">
    <w:name w:val="WW8Num5z0"/>
    <w:next w:val="UserStyle_26"/>
    <w:link w:val="Normal"/>
    <w:rPr>
      <w:rFonts w:ascii="Symbol" w:hAnsi="Symbol" w:cs="Symbol"/>
    </w:rPr>
  </w:style>
  <w:style w:type="character" w:styleId="UserStyle_27">
    <w:name w:val="WW8Num5z1"/>
    <w:next w:val="UserStyle_27"/>
    <w:link w:val="Normal"/>
    <w:rPr>
      <w:rFonts w:ascii="Courier New" w:hAnsi="Courier New" w:cs="Courier New"/>
    </w:rPr>
  </w:style>
  <w:style w:type="character" w:styleId="UserStyle_28">
    <w:name w:val="WW8Num5z2"/>
    <w:next w:val="UserStyle_28"/>
    <w:link w:val="Normal"/>
    <w:rPr>
      <w:rFonts w:ascii="Wingdings" w:hAnsi="Wingdings" w:cs="Wingdings"/>
    </w:rPr>
  </w:style>
  <w:style w:type="character" w:styleId="UserStyle_29">
    <w:name w:val="Основной шрифт абзаца11"/>
    <w:next w:val="UserStyle_29"/>
    <w:link w:val="Normal"/>
  </w:style>
  <w:style w:type="character" w:styleId="UserStyle_30">
    <w:name w:val="WW8Num6z0"/>
    <w:next w:val="UserStyle_30"/>
    <w:link w:val="Normal"/>
    <w:rPr>
      <w:rFonts w:ascii="Symbol" w:hAnsi="Symbol" w:cs="Symbol"/>
      <w:sz w:val="20"/>
    </w:rPr>
  </w:style>
  <w:style w:type="character" w:styleId="UserStyle_31">
    <w:name w:val="WW8Num7z0"/>
    <w:next w:val="UserStyle_31"/>
    <w:link w:val="Normal"/>
    <w:rPr>
      <w:rFonts w:ascii="Symbol" w:hAnsi="Symbol" w:cs="Symbol"/>
      <w:sz w:val="20"/>
    </w:rPr>
  </w:style>
  <w:style w:type="character" w:styleId="UserStyle_32">
    <w:name w:val="WW8Num7z1"/>
    <w:next w:val="UserStyle_32"/>
    <w:link w:val="Normal"/>
    <w:rPr>
      <w:rFonts w:ascii="Courier New" w:hAnsi="Courier New" w:cs="Times New Roman"/>
      <w:sz w:val="20"/>
    </w:rPr>
  </w:style>
  <w:style w:type="character" w:styleId="UserStyle_33">
    <w:name w:val="WW8Num7z2"/>
    <w:next w:val="UserStyle_33"/>
    <w:link w:val="Normal"/>
    <w:rPr>
      <w:rFonts w:ascii="Wingdings" w:hAnsi="Wingdings" w:cs="Wingdings"/>
      <w:sz w:val="20"/>
    </w:rPr>
  </w:style>
  <w:style w:type="character" w:styleId="UserStyle_34">
    <w:name w:val="WW8Num8z0"/>
    <w:next w:val="UserStyle_34"/>
    <w:link w:val="Normal"/>
    <w:rPr>
      <w:rFonts w:ascii="Symbol" w:hAnsi="Symbol" w:cs="Symbol"/>
    </w:rPr>
  </w:style>
  <w:style w:type="character" w:styleId="UserStyle_35">
    <w:name w:val="WW8Num8z1"/>
    <w:next w:val="UserStyle_35"/>
    <w:link w:val="Normal"/>
    <w:rPr>
      <w:rFonts w:ascii="Courier New" w:hAnsi="Courier New" w:cs="Courier New"/>
    </w:rPr>
  </w:style>
  <w:style w:type="character" w:styleId="UserStyle_36">
    <w:name w:val="WW8Num8z2"/>
    <w:next w:val="UserStyle_36"/>
    <w:link w:val="Normal"/>
    <w:rPr>
      <w:rFonts w:ascii="Wingdings" w:hAnsi="Wingdings" w:cs="Wingdings"/>
    </w:rPr>
  </w:style>
  <w:style w:type="character" w:styleId="UserStyle_37">
    <w:name w:val="WW8Num9z0"/>
    <w:next w:val="UserStyle_37"/>
    <w:link w:val="Normal"/>
    <w:rPr>
      <w:rFonts w:ascii="Symbol" w:hAnsi="Symbol" w:cs="Symbol"/>
    </w:rPr>
  </w:style>
  <w:style w:type="character" w:styleId="UserStyle_38">
    <w:name w:val="WW8Num9z1"/>
    <w:next w:val="UserStyle_38"/>
    <w:link w:val="Normal"/>
    <w:rPr>
      <w:rFonts w:ascii="Courier New" w:hAnsi="Courier New" w:cs="Courier New"/>
    </w:rPr>
  </w:style>
  <w:style w:type="character" w:styleId="UserStyle_39">
    <w:name w:val="WW8Num9z2"/>
    <w:next w:val="UserStyle_39"/>
    <w:link w:val="Normal"/>
    <w:rPr>
      <w:rFonts w:ascii="Wingdings" w:hAnsi="Wingdings" w:cs="Wingdings"/>
    </w:rPr>
  </w:style>
  <w:style w:type="character" w:styleId="UserStyle_40">
    <w:name w:val="WW8Num10z0"/>
    <w:next w:val="UserStyle_40"/>
    <w:link w:val="Normal"/>
    <w:rPr>
      <w:rFonts w:ascii="Symbol" w:hAnsi="Symbol" w:cs="Symbol"/>
      <w:sz w:val="20"/>
    </w:rPr>
  </w:style>
  <w:style w:type="character" w:styleId="UserStyle_41">
    <w:name w:val="WW8Num10z1"/>
    <w:next w:val="UserStyle_41"/>
    <w:link w:val="Normal"/>
    <w:rPr>
      <w:rFonts w:ascii="Courier New" w:hAnsi="Courier New" w:cs="Times New Roman"/>
      <w:sz w:val="20"/>
    </w:rPr>
  </w:style>
  <w:style w:type="character" w:styleId="UserStyle_42">
    <w:name w:val="WW8Num10z2"/>
    <w:next w:val="UserStyle_42"/>
    <w:link w:val="Normal"/>
    <w:rPr>
      <w:rFonts w:ascii="Wingdings" w:hAnsi="Wingdings" w:cs="Wingdings"/>
      <w:sz w:val="20"/>
    </w:rPr>
  </w:style>
  <w:style w:type="character" w:styleId="UserStyle_43">
    <w:name w:val="WW8Num11z0"/>
    <w:next w:val="UserStyle_43"/>
    <w:link w:val="Normal"/>
    <w:rPr>
      <w:rFonts w:ascii="Symbol" w:hAnsi="Symbol" w:cs="Symbol"/>
    </w:rPr>
  </w:style>
  <w:style w:type="character" w:styleId="UserStyle_44">
    <w:name w:val="WW8Num11z1"/>
    <w:next w:val="UserStyle_44"/>
    <w:link w:val="Normal"/>
    <w:rPr>
      <w:rFonts w:ascii="Courier New" w:hAnsi="Courier New" w:cs="Courier New"/>
    </w:rPr>
  </w:style>
  <w:style w:type="character" w:styleId="UserStyle_45">
    <w:name w:val="WW8Num11z2"/>
    <w:next w:val="UserStyle_45"/>
    <w:link w:val="Normal"/>
    <w:rPr>
      <w:rFonts w:ascii="Wingdings" w:hAnsi="Wingdings" w:cs="Wingdings"/>
    </w:rPr>
  </w:style>
  <w:style w:type="character" w:styleId="UserStyle_46">
    <w:name w:val="WW8Num12z0"/>
    <w:next w:val="UserStyle_46"/>
    <w:link w:val="Normal"/>
    <w:rPr>
      <w:rFonts w:ascii="Symbol" w:hAnsi="Symbol" w:cs="Symbol"/>
      <w:sz w:val="20"/>
    </w:rPr>
  </w:style>
  <w:style w:type="character" w:styleId="UserStyle_47">
    <w:name w:val="WW8Num12z1"/>
    <w:next w:val="UserStyle_47"/>
    <w:link w:val="Normal"/>
    <w:rPr>
      <w:rFonts w:ascii="Courier New" w:hAnsi="Courier New" w:cs="Times New Roman"/>
      <w:sz w:val="20"/>
    </w:rPr>
  </w:style>
  <w:style w:type="character" w:styleId="UserStyle_48">
    <w:name w:val="WW8Num12z2"/>
    <w:next w:val="UserStyle_48"/>
    <w:link w:val="Normal"/>
    <w:rPr>
      <w:rFonts w:ascii="Wingdings" w:hAnsi="Wingdings" w:cs="Wingdings"/>
      <w:sz w:val="20"/>
    </w:rPr>
  </w:style>
  <w:style w:type="character" w:styleId="UserStyle_49">
    <w:name w:val="WW8Num13z0"/>
    <w:next w:val="UserStyle_49"/>
    <w:link w:val="Normal"/>
  </w:style>
  <w:style w:type="character" w:styleId="UserStyle_50">
    <w:name w:val="Основной шрифт абзаца10"/>
    <w:next w:val="UserStyle_50"/>
    <w:link w:val="Normal"/>
  </w:style>
  <w:style w:type="character" w:styleId="UserStyle_51">
    <w:name w:val="Основной шрифт абзаца9"/>
    <w:next w:val="UserStyle_51"/>
    <w:link w:val="Normal"/>
  </w:style>
  <w:style w:type="character" w:styleId="UserStyle_52">
    <w:name w:val="Основной шрифт абзаца8"/>
    <w:next w:val="UserStyle_52"/>
    <w:link w:val="Normal"/>
  </w:style>
  <w:style w:type="character" w:styleId="UserStyle_53">
    <w:name w:val="Основной шрифт абзаца7"/>
    <w:next w:val="UserStyle_53"/>
    <w:link w:val="Normal"/>
  </w:style>
  <w:style w:type="character" w:styleId="UserStyle_54">
    <w:name w:val="Основной шрифт абзаца6"/>
    <w:next w:val="UserStyle_54"/>
    <w:link w:val="Normal"/>
  </w:style>
  <w:style w:type="character" w:styleId="UserStyle_55">
    <w:name w:val="Основной шрифт абзаца5"/>
    <w:next w:val="UserStyle_55"/>
    <w:link w:val="Normal"/>
  </w:style>
  <w:style w:type="character" w:styleId="UserStyle_56">
    <w:name w:val="Основной шрифт абзаца4"/>
    <w:next w:val="UserStyle_56"/>
    <w:link w:val="Normal"/>
  </w:style>
  <w:style w:type="character" w:styleId="UserStyle_57">
    <w:name w:val="Основной шрифт абзаца3"/>
    <w:next w:val="UserStyle_57"/>
    <w:link w:val="Normal"/>
  </w:style>
  <w:style w:type="character" w:styleId="UserStyle_58">
    <w:name w:val="Основной шрифт абзаца2"/>
    <w:next w:val="UserStyle_58"/>
    <w:link w:val="Normal"/>
  </w:style>
  <w:style w:type="character" w:styleId="UserStyle_59">
    <w:name w:val="Основной шрифт абзаца1"/>
    <w:next w:val="UserStyle_59"/>
    <w:link w:val="Normal"/>
  </w:style>
  <w:style w:type="character" w:styleId="Hyperlink">
    <w:name w:val="Гиперссылка"/>
    <w:next w:val="Hyperlink"/>
    <w:link w:val="Normal"/>
    <w:uiPriority w:val="99"/>
    <w:rPr>
      <w:u w:val="single"/>
    </w:rPr>
  </w:style>
  <w:style w:type="character" w:styleId="UserStyle_60">
    <w:name w:val="Нет"/>
    <w:next w:val="UserStyle_60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61">
    <w:name w:val="Основной текст (2)_"/>
    <w:next w:val="UserStyle_61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62">
    <w:name w:val="Знак примечания1"/>
    <w:next w:val="UserStyle_62"/>
    <w:link w:val="Normal"/>
    <w:rPr>
      <w:sz w:val="16"/>
      <w:szCs w:val="16"/>
    </w:rPr>
  </w:style>
  <w:style w:type="character" w:styleId="UserStyle_63">
    <w:name w:val="Текст примечания Знак"/>
    <w:next w:val="UserStyle_63"/>
    <w:link w:val="Normal"/>
    <w:rPr>
      <w:rFonts w:eastAsia="Arial Unicode MS" w:cs="Arial Unicode MS"/>
      <w:color w:val="000000"/>
      <w:lang w:eastAsia="zh-CN"/>
    </w:rPr>
  </w:style>
  <w:style w:type="character" w:styleId="UserStyle_64">
    <w:name w:val="Тема примечания Знак"/>
    <w:next w:val="UserStyle_64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65">
    <w:name w:val="Текст выноски Знак"/>
    <w:next w:val="UserStyle_65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66">
    <w:name w:val="Знак примечания2"/>
    <w:next w:val="UserStyle_66"/>
    <w:link w:val="Normal"/>
    <w:rPr>
      <w:sz w:val="16"/>
      <w:szCs w:val="16"/>
    </w:rPr>
  </w:style>
  <w:style w:type="character" w:styleId="UserStyle_67">
    <w:name w:val="Текст примечания Знак1"/>
    <w:next w:val="UserStyle_67"/>
    <w:link w:val="Normal"/>
    <w:rPr>
      <w:rFonts w:eastAsia="Arial Unicode MS" w:cs="Arial Unicode MS"/>
      <w:color w:val="000000"/>
      <w:lang w:eastAsia="zh-CN"/>
    </w:rPr>
  </w:style>
  <w:style w:type="character" w:styleId="UserStyle_68">
    <w:name w:val="article_layer__header_date_published"/>
    <w:next w:val="UserStyle_68"/>
    <w:link w:val="Normal"/>
  </w:style>
  <w:style w:type="character" w:styleId="UserStyle_69">
    <w:name w:val="article_layer__stat_btn"/>
    <w:next w:val="UserStyle_69"/>
    <w:link w:val="Normal"/>
  </w:style>
  <w:style w:type="character" w:styleId="UserStyle_70">
    <w:name w:val="Основной текст (5)"/>
    <w:next w:val="UserStyle_70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71">
    <w:name w:val="Текст концевой сноски Знак"/>
    <w:next w:val="UserStyle_71"/>
    <w:link w:val="Normal"/>
    <w:rPr>
      <w:rFonts w:eastAsia="Arial Unicode MS" w:cs="Arial Unicode MS"/>
      <w:color w:val="000000"/>
      <w:lang w:eastAsia="zh-CN"/>
    </w:rPr>
  </w:style>
  <w:style w:type="character" w:styleId="UserStyle_72">
    <w:name w:val="Символ концевой сноски"/>
    <w:next w:val="UserStyle_72"/>
    <w:link w:val="Normal"/>
    <w:rPr>
      <w:vertAlign w:val="superscript"/>
    </w:rPr>
  </w:style>
  <w:style w:type="paragraph" w:styleId="UserStyle_73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74">
    <w:name w:val="Указатель13"/>
    <w:basedOn w:val="Normal"/>
    <w:next w:val="UserStyle_74"/>
    <w:link w:val="Normal"/>
    <w:pPr>
      <w:suppressLineNumbers/>
    </w:pPr>
    <w:rPr>
      <w:rFonts w:cs="Mangal"/>
      <w:lang w:val="en-US" w:eastAsia="en-US" w:bidi="en-US"/>
    </w:rPr>
  </w:style>
  <w:style w:type="paragraph" w:styleId="UserStyle_75">
    <w:name w:val="Название объекта12"/>
    <w:basedOn w:val="Normal"/>
    <w:next w:val="UserStyle_75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76">
    <w:name w:val="Указатель12"/>
    <w:basedOn w:val="Normal"/>
    <w:next w:val="UserStyle_76"/>
    <w:link w:val="Normal"/>
    <w:pPr>
      <w:suppressLineNumbers/>
    </w:pPr>
    <w:rPr>
      <w:rFonts w:ascii="PT Sans" w:hAnsi="PT Sans" w:cs="Noto Sans Devanagari"/>
    </w:rPr>
  </w:style>
  <w:style w:type="paragraph" w:styleId="UserStyle_77">
    <w:name w:val="Название объекта11"/>
    <w:basedOn w:val="Normal"/>
    <w:next w:val="UserStyle_77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78">
    <w:name w:val="Указатель11"/>
    <w:basedOn w:val="Normal"/>
    <w:next w:val="UserStyle_78"/>
    <w:link w:val="Normal"/>
    <w:pPr>
      <w:suppressLineNumbers/>
    </w:pPr>
    <w:rPr>
      <w:rFonts w:ascii="PT Astra Serif" w:hAnsi="PT Astra Serif" w:cs="Noto Sans Devanagari"/>
    </w:rPr>
  </w:style>
  <w:style w:type="paragraph" w:styleId="UserStyle_79">
    <w:name w:val="Название объекта10"/>
    <w:basedOn w:val="Normal"/>
    <w:next w:val="UserStyle_7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0">
    <w:name w:val="Указатель10"/>
    <w:basedOn w:val="Normal"/>
    <w:next w:val="UserStyle_80"/>
    <w:link w:val="Normal"/>
    <w:pPr>
      <w:suppressLineNumbers/>
    </w:pPr>
    <w:rPr>
      <w:rFonts w:cs="Arial"/>
    </w:rPr>
  </w:style>
  <w:style w:type="paragraph" w:styleId="UserStyle_81">
    <w:name w:val="Название объекта9"/>
    <w:basedOn w:val="Normal"/>
    <w:next w:val="UserStyle_8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2">
    <w:name w:val="Указатель9"/>
    <w:basedOn w:val="Normal"/>
    <w:next w:val="UserStyle_82"/>
    <w:link w:val="Normal"/>
    <w:pPr>
      <w:suppressLineNumbers/>
    </w:pPr>
    <w:rPr>
      <w:rFonts w:cs="Lucida Sans"/>
    </w:rPr>
  </w:style>
  <w:style w:type="paragraph" w:styleId="UserStyle_83">
    <w:name w:val="Название объекта8"/>
    <w:basedOn w:val="Normal"/>
    <w:next w:val="UserStyle_8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4">
    <w:name w:val="Указатель8"/>
    <w:basedOn w:val="Normal"/>
    <w:next w:val="UserStyle_84"/>
    <w:link w:val="Normal"/>
    <w:pPr>
      <w:suppressLineNumbers/>
    </w:pPr>
    <w:rPr>
      <w:rFonts w:cs="Arial"/>
    </w:rPr>
  </w:style>
  <w:style w:type="paragraph" w:styleId="UserStyle_85">
    <w:name w:val="Название объекта7"/>
    <w:basedOn w:val="Normal"/>
    <w:next w:val="UserStyle_8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6">
    <w:name w:val="Указатель7"/>
    <w:basedOn w:val="Normal"/>
    <w:next w:val="UserStyle_86"/>
    <w:link w:val="Normal"/>
    <w:pPr>
      <w:suppressLineNumbers/>
    </w:pPr>
    <w:rPr>
      <w:rFonts w:cs="Lucida Sans"/>
    </w:rPr>
  </w:style>
  <w:style w:type="paragraph" w:styleId="UserStyle_87">
    <w:name w:val="Название объекта6"/>
    <w:basedOn w:val="Normal"/>
    <w:next w:val="UserStyle_87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8">
    <w:name w:val="Указатель6"/>
    <w:basedOn w:val="Normal"/>
    <w:next w:val="UserStyle_88"/>
    <w:link w:val="Normal"/>
    <w:pPr>
      <w:suppressLineNumbers/>
    </w:pPr>
    <w:rPr>
      <w:rFonts w:cs="Lucida Sans"/>
    </w:rPr>
  </w:style>
  <w:style w:type="paragraph" w:styleId="UserStyle_89">
    <w:name w:val="Название объекта5"/>
    <w:basedOn w:val="Normal"/>
    <w:next w:val="UserStyle_89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0">
    <w:name w:val="Указатель5"/>
    <w:basedOn w:val="Normal"/>
    <w:next w:val="UserStyle_90"/>
    <w:link w:val="Normal"/>
    <w:pPr>
      <w:suppressLineNumbers/>
    </w:pPr>
    <w:rPr>
      <w:rFonts w:cs="Lucida Sans"/>
    </w:rPr>
  </w:style>
  <w:style w:type="paragraph" w:styleId="UserStyle_91">
    <w:name w:val="Название объекта4"/>
    <w:basedOn w:val="Normal"/>
    <w:next w:val="UserStyle_9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2">
    <w:name w:val="Указатель4"/>
    <w:basedOn w:val="Normal"/>
    <w:next w:val="UserStyle_92"/>
    <w:link w:val="Normal"/>
    <w:pPr>
      <w:suppressLineNumbers/>
    </w:pPr>
    <w:rPr>
      <w:rFonts w:cs="Lucida Sans"/>
    </w:rPr>
  </w:style>
  <w:style w:type="paragraph" w:styleId="UserStyle_93">
    <w:name w:val="Название объекта3"/>
    <w:basedOn w:val="Normal"/>
    <w:next w:val="UserStyle_93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4">
    <w:name w:val="Указатель3"/>
    <w:basedOn w:val="Normal"/>
    <w:next w:val="UserStyle_94"/>
    <w:link w:val="Normal"/>
    <w:pPr>
      <w:suppressLineNumbers/>
    </w:pPr>
    <w:rPr>
      <w:rFonts w:cs="Lucida Sans"/>
    </w:rPr>
  </w:style>
  <w:style w:type="paragraph" w:styleId="UserStyle_95">
    <w:name w:val="Название объекта2"/>
    <w:basedOn w:val="Normal"/>
    <w:next w:val="UserStyle_9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6">
    <w:name w:val="Указатель2"/>
    <w:basedOn w:val="Normal"/>
    <w:next w:val="UserStyle_96"/>
    <w:link w:val="Normal"/>
    <w:pPr>
      <w:suppressLineNumbers/>
    </w:pPr>
    <w:rPr>
      <w:rFonts w:cs="Lucida Sans"/>
    </w:rPr>
  </w:style>
  <w:style w:type="paragraph" w:styleId="UserStyle_97">
    <w:name w:val="Название объекта1"/>
    <w:basedOn w:val="Normal"/>
    <w:next w:val="UserStyle_97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98">
    <w:name w:val="Указатель1"/>
    <w:basedOn w:val="Normal"/>
    <w:next w:val="UserStyle_98"/>
    <w:link w:val="Normal"/>
    <w:pPr>
      <w:suppressLineNumbers/>
    </w:pPr>
    <w:rPr>
      <w:rFonts w:ascii="PT Sans" w:hAnsi="PT Sans" w:cs="Noto Sans Devanagari"/>
    </w:rPr>
  </w:style>
  <w:style w:type="paragraph" w:styleId="UserStyle_99">
    <w:name w:val="Верхн./нижн. кол."/>
    <w:next w:val="UserStyle_99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00">
    <w:name w:val="Body Text"/>
    <w:next w:val="UserStyle_100"/>
    <w:link w:val="Normal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UserStyle_101">
    <w:name w:val="Обычный (веб)1"/>
    <w:next w:val="UserStyle_101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02">
    <w:name w:val="Верхний и нижний колонтитулы"/>
    <w:basedOn w:val="Normal"/>
    <w:next w:val="UserStyle_10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03">
    <w:name w:val="Колонтитул"/>
    <w:basedOn w:val="Normal"/>
    <w:next w:val="UserStyle_10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02"/>
    <w:next w:val="Footer"/>
    <w:link w:val="Normal"/>
    <w:pPr>
      <w:suppressLineNumbers/>
    </w:pPr>
  </w:style>
  <w:style w:type="paragraph" w:styleId="Header">
    <w:name w:val="Верхний колонтитул"/>
    <w:basedOn w:val="UserStyle_102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04">
    <w:name w:val="western"/>
    <w:basedOn w:val="Normal"/>
    <w:next w:val="UserStyle_104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05">
    <w:name w:val="Текст примечания1"/>
    <w:basedOn w:val="Normal"/>
    <w:next w:val="UserStyle_105"/>
    <w:link w:val="Normal"/>
    <w:rPr>
      <w:rFonts w:cs="Times New Roman"/>
      <w:sz w:val="20"/>
      <w:szCs w:val="20"/>
      <w:lang w:val="en-US"/>
    </w:rPr>
  </w:style>
  <w:style w:type="paragraph" w:styleId="AnnotationSubject">
    <w:name w:val="Тема примечания"/>
    <w:basedOn w:val="UserStyle_105"/>
    <w:next w:val="UserStyle_105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  <w:lang w:val="en-US"/>
    </w:rPr>
  </w:style>
  <w:style w:type="paragraph" w:styleId="UserStyle_106">
    <w:name w:val="Без интервала1"/>
    <w:next w:val="UserStyle_106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07">
    <w:name w:val="ConsPlusNormal"/>
    <w:next w:val="UserStyle_107"/>
    <w:link w:val="Normal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UserStyle_108">
    <w:name w:val="Default"/>
    <w:next w:val="UserStyle_108"/>
    <w:link w:val="Normal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UserStyle_109">
    <w:name w:val="Standard"/>
    <w:next w:val="UserStyle_109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10">
    <w:name w:val="Text body"/>
    <w:basedOn w:val="UserStyle_109"/>
    <w:next w:val="UserStyle_110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UserStyle_111">
    <w:name w:val="Текст примечания2"/>
    <w:basedOn w:val="Normal"/>
    <w:next w:val="UserStyle_111"/>
    <w:link w:val="Normal"/>
    <w:rPr>
      <w:rFonts w:cs="Times New Roman"/>
      <w:sz w:val="20"/>
      <w:szCs w:val="20"/>
      <w:lang w:val="en-US"/>
    </w:rPr>
  </w:style>
  <w:style w:type="paragraph" w:styleId="UserStyle_112">
    <w:name w:val="Содержимое таблицы"/>
    <w:basedOn w:val="Normal"/>
    <w:next w:val="UserStyle_112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  <w:lang w:val="en-US"/>
    </w:rPr>
  </w:style>
  <w:style w:type="paragraph" w:styleId="UserStyle_113">
    <w:name w:val="Основной текст с отступом 31"/>
    <w:basedOn w:val="Normal"/>
    <w:next w:val="UserStyle_113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UserStyle_114">
    <w:name w:val="no-indent"/>
    <w:basedOn w:val="Normal"/>
    <w:next w:val="UserStyle_114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1631</Characters>
  <CharactersWithSpaces>1913</CharactersWithSpaces>
  <DocSecurity>0</DocSecurity>
  <HyperlinksChanged>false</HyperlinksChanged>
  <Lines>13</Lines>
  <Pages>1</Pages>
  <Paragraphs>3</Paragraphs>
  <ScaleCrop>false</ScaleCrop>
  <SharedDoc>false</SharedDoc>
  <Template>Normal</Template>
  <Words>285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Васильева Мария Анатольевна</cp:lastModifiedBy>
  <cp:revision>97</cp:revision>
  <dcterms:created xsi:type="dcterms:W3CDTF">2024-08-16T10:03:00Z</dcterms:created>
  <dcterms:modified xsi:type="dcterms:W3CDTF">2025-01-17T10:19:00Z</dcterms:modified>
  <cp:version>983040</cp:version>
</cp:coreProperties>
</file>